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rFonts w:ascii="Arial" w:cs="Arial" w:hAnsi="Arial" w:eastAsia="Arial"/>
          <w:b w:val="1"/>
          <w:bCs w:val="1"/>
          <w:i w:val="1"/>
          <w:iCs w:val="1"/>
          <w:sz w:val="26"/>
          <w:szCs w:val="26"/>
          <w:u w:val="single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 xml:space="preserve">Finance Meeting 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 xml:space="preserve">16 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 xml:space="preserve">May 2020  </w:t>
      </w:r>
    </w:p>
    <w:p>
      <w:pPr>
        <w:pStyle w:val="Body A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rPr>
          <w:rFonts w:ascii="Arial" w:cs="Arial" w:hAnsi="Arial" w:eastAsia="Arial"/>
          <w:b w:val="1"/>
          <w:bCs w:val="1"/>
          <w:i w:val="1"/>
          <w:iCs w:val="1"/>
          <w:sz w:val="26"/>
          <w:szCs w:val="26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>Time: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rtl w:val="0"/>
          <w:lang w:val="en-US"/>
        </w:rPr>
        <w:t xml:space="preserve"> 9am</w:t>
      </w:r>
    </w:p>
    <w:p>
      <w:pPr>
        <w:pStyle w:val="Body A"/>
        <w:rPr>
          <w:rFonts w:ascii="Arial" w:cs="Arial" w:hAnsi="Arial" w:eastAsia="Arial"/>
          <w:b w:val="1"/>
          <w:bCs w:val="1"/>
          <w:i w:val="1"/>
          <w:iCs w:val="1"/>
          <w:sz w:val="26"/>
          <w:szCs w:val="26"/>
        </w:rPr>
      </w:pPr>
    </w:p>
    <w:p>
      <w:pPr>
        <w:pStyle w:val="Body A"/>
        <w:rPr>
          <w:sz w:val="20"/>
          <w:szCs w:val="20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>Chair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rtl w:val="0"/>
          <w:lang w:val="en-US"/>
        </w:rPr>
        <w:t xml:space="preserve">&amp; MinuteTaker:  </w:t>
      </w:r>
      <w:r>
        <w:rPr>
          <w:rFonts w:ascii="Arial" w:hAnsi="Arial"/>
          <w:sz w:val="26"/>
          <w:szCs w:val="26"/>
          <w:rtl w:val="0"/>
          <w:lang w:val="en-US"/>
        </w:rPr>
        <w:t>Wayne Skinner</w:t>
      </w:r>
    </w:p>
    <w:p>
      <w:pPr>
        <w:pStyle w:val="Body A"/>
        <w:rPr>
          <w:rFonts w:ascii="Arial" w:cs="Arial" w:hAnsi="Arial" w:eastAsia="Arial"/>
          <w:sz w:val="26"/>
          <w:szCs w:val="26"/>
        </w:rPr>
      </w:pPr>
    </w:p>
    <w:p>
      <w:pPr>
        <w:pStyle w:val="Body A"/>
        <w:rPr>
          <w:rFonts w:ascii="Arial" w:cs="Arial" w:hAnsi="Arial" w:eastAsia="Arial"/>
          <w:b w:val="1"/>
          <w:bCs w:val="1"/>
          <w:sz w:val="26"/>
          <w:szCs w:val="26"/>
          <w:u w:val="single"/>
        </w:rPr>
      </w:pPr>
      <w:r>
        <w:rPr>
          <w:rFonts w:ascii="Arial" w:hAnsi="Arial"/>
          <w:b w:val="1"/>
          <w:bCs w:val="1"/>
          <w:sz w:val="26"/>
          <w:szCs w:val="26"/>
          <w:u w:val="single"/>
          <w:rtl w:val="0"/>
          <w:lang w:val="en-US"/>
        </w:rPr>
        <w:t>In Attendance</w:t>
      </w:r>
    </w:p>
    <w:p>
      <w:pPr>
        <w:pStyle w:val="Body A"/>
        <w:rPr>
          <w:rFonts w:ascii="Arial" w:cs="Arial" w:hAnsi="Arial" w:eastAsia="Arial"/>
          <w:sz w:val="26"/>
          <w:szCs w:val="26"/>
        </w:rPr>
      </w:pPr>
    </w:p>
    <w:p>
      <w:pPr>
        <w:pStyle w:val="Body A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Denise Cobour</w:t>
      </w:r>
      <w:r>
        <w:rPr>
          <w:rFonts w:ascii="Arial" w:hAnsi="Arial"/>
          <w:sz w:val="26"/>
          <w:szCs w:val="26"/>
          <w:rtl w:val="0"/>
          <w:lang w:val="en-US"/>
        </w:rPr>
        <w:t xml:space="preserve">n, </w:t>
      </w:r>
      <w:r>
        <w:rPr>
          <w:rFonts w:ascii="Arial" w:hAnsi="Arial"/>
          <w:sz w:val="26"/>
          <w:szCs w:val="26"/>
          <w:rtl w:val="0"/>
          <w:lang w:val="en-US"/>
        </w:rPr>
        <w:t>Wayne Skinn</w:t>
      </w:r>
      <w:r>
        <w:rPr>
          <w:rFonts w:ascii="Arial" w:hAnsi="Arial"/>
          <w:sz w:val="26"/>
          <w:szCs w:val="26"/>
          <w:rtl w:val="0"/>
          <w:lang w:val="en-US"/>
        </w:rPr>
        <w:t xml:space="preserve">er, </w:t>
      </w:r>
      <w:r>
        <w:rPr>
          <w:rFonts w:ascii="Arial" w:hAnsi="Arial"/>
          <w:sz w:val="26"/>
          <w:szCs w:val="26"/>
          <w:rtl w:val="0"/>
          <w:lang w:val="en-US"/>
        </w:rPr>
        <w:t>Peter O</w:t>
      </w:r>
      <w:r>
        <w:rPr>
          <w:rFonts w:ascii="Arial" w:hAnsi="Arial" w:hint="default"/>
          <w:sz w:val="26"/>
          <w:szCs w:val="26"/>
          <w:rtl w:val="0"/>
          <w:lang w:val="en-US"/>
        </w:rPr>
        <w:t>’</w:t>
      </w:r>
      <w:r>
        <w:rPr>
          <w:rFonts w:ascii="Arial" w:hAnsi="Arial"/>
          <w:sz w:val="26"/>
          <w:szCs w:val="26"/>
          <w:rtl w:val="0"/>
          <w:lang w:val="en-US"/>
        </w:rPr>
        <w:t>Har</w:t>
      </w:r>
      <w:r>
        <w:rPr>
          <w:rFonts w:ascii="Arial" w:hAnsi="Arial"/>
          <w:sz w:val="26"/>
          <w:szCs w:val="26"/>
          <w:rtl w:val="0"/>
          <w:lang w:val="en-US"/>
        </w:rPr>
        <w:t xml:space="preserve">a, </w:t>
      </w:r>
      <w:r>
        <w:rPr>
          <w:rFonts w:ascii="Arial" w:hAnsi="Arial"/>
          <w:sz w:val="26"/>
          <w:szCs w:val="26"/>
          <w:rtl w:val="0"/>
          <w:lang w:val="en-US"/>
        </w:rPr>
        <w:t>Petra</w:t>
      </w:r>
      <w:r>
        <w:rPr>
          <w:rFonts w:ascii="Arial" w:hAnsi="Arial"/>
          <w:sz w:val="26"/>
          <w:szCs w:val="26"/>
          <w:rtl w:val="0"/>
          <w:lang w:val="en-US"/>
        </w:rPr>
        <w:t xml:space="preserve"> Kuesseler, </w:t>
      </w:r>
      <w:r>
        <w:rPr>
          <w:rFonts w:ascii="Arial" w:hAnsi="Arial"/>
          <w:sz w:val="26"/>
          <w:szCs w:val="26"/>
          <w:rtl w:val="0"/>
          <w:lang w:val="en-US"/>
        </w:rPr>
        <w:t>John Tennoc</w:t>
      </w:r>
      <w:r>
        <w:rPr>
          <w:rFonts w:ascii="Arial" w:hAnsi="Arial"/>
          <w:sz w:val="26"/>
          <w:szCs w:val="26"/>
          <w:rtl w:val="0"/>
          <w:lang w:val="en-US"/>
        </w:rPr>
        <w:t xml:space="preserve">k, </w:t>
      </w:r>
      <w:r>
        <w:rPr>
          <w:rFonts w:ascii="Arial" w:hAnsi="Arial"/>
          <w:sz w:val="26"/>
          <w:szCs w:val="26"/>
          <w:rtl w:val="0"/>
          <w:lang w:val="en-US"/>
        </w:rPr>
        <w:t>Trinh Nguye</w:t>
      </w:r>
      <w:r>
        <w:rPr>
          <w:rFonts w:ascii="Arial" w:hAnsi="Arial"/>
          <w:sz w:val="26"/>
          <w:szCs w:val="26"/>
          <w:rtl w:val="0"/>
          <w:lang w:val="en-US"/>
        </w:rPr>
        <w:t>n</w:t>
      </w:r>
    </w:p>
    <w:p>
      <w:pPr>
        <w:pStyle w:val="Body A"/>
        <w:rPr>
          <w:rFonts w:ascii="Arial" w:cs="Arial" w:hAnsi="Arial" w:eastAsia="Arial"/>
          <w:sz w:val="26"/>
          <w:szCs w:val="26"/>
        </w:rPr>
      </w:pPr>
    </w:p>
    <w:p>
      <w:pPr>
        <w:pStyle w:val="Body A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Guests</w:t>
      </w:r>
    </w:p>
    <w:p>
      <w:pPr>
        <w:pStyle w:val="Body A"/>
        <w:rPr>
          <w:rFonts w:ascii="Arial" w:cs="Arial" w:hAnsi="Arial" w:eastAsia="Arial"/>
          <w:sz w:val="26"/>
          <w:szCs w:val="26"/>
        </w:rPr>
      </w:pPr>
    </w:p>
    <w:p>
      <w:pPr>
        <w:pStyle w:val="Body A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Dan Rose</w:t>
      </w:r>
      <w:r>
        <w:rPr>
          <w:rFonts w:ascii="Arial" w:hAnsi="Arial"/>
          <w:sz w:val="26"/>
          <w:szCs w:val="26"/>
          <w:rtl w:val="0"/>
          <w:lang w:val="en-US"/>
        </w:rPr>
        <w:t xml:space="preserve">, </w:t>
      </w:r>
      <w:r>
        <w:rPr>
          <w:rFonts w:ascii="Arial" w:hAnsi="Arial"/>
          <w:sz w:val="26"/>
          <w:szCs w:val="26"/>
          <w:rtl w:val="0"/>
          <w:lang w:val="en-US"/>
        </w:rPr>
        <w:t>Nick Reid</w:t>
      </w:r>
      <w:r>
        <w:rPr>
          <w:rFonts w:ascii="Arial" w:hAnsi="Arial"/>
          <w:sz w:val="26"/>
          <w:szCs w:val="26"/>
          <w:rtl w:val="0"/>
          <w:lang w:val="en-US"/>
        </w:rPr>
        <w:t xml:space="preserve">, </w:t>
      </w:r>
      <w:r>
        <w:rPr>
          <w:rFonts w:ascii="Arial" w:hAnsi="Arial"/>
          <w:sz w:val="26"/>
          <w:szCs w:val="26"/>
          <w:rtl w:val="0"/>
          <w:lang w:val="en-US"/>
        </w:rPr>
        <w:t>Craig Singleton</w:t>
      </w:r>
      <w:r>
        <w:rPr>
          <w:rFonts w:ascii="Arial" w:hAnsi="Arial"/>
          <w:sz w:val="26"/>
          <w:szCs w:val="26"/>
          <w:rtl w:val="0"/>
          <w:lang w:val="en-US"/>
        </w:rPr>
        <w:t xml:space="preserve">, </w:t>
      </w:r>
      <w:r>
        <w:rPr>
          <w:rFonts w:ascii="Arial" w:hAnsi="Arial"/>
          <w:sz w:val="26"/>
          <w:szCs w:val="26"/>
          <w:rtl w:val="0"/>
          <w:lang w:val="en-US"/>
        </w:rPr>
        <w:t>Steve Campbell</w:t>
      </w:r>
    </w:p>
    <w:p>
      <w:pPr>
        <w:pStyle w:val="Body A"/>
        <w:rPr>
          <w:rFonts w:ascii="Arial" w:cs="Arial" w:hAnsi="Arial" w:eastAsia="Arial"/>
          <w:sz w:val="26"/>
          <w:szCs w:val="26"/>
        </w:rPr>
      </w:pPr>
    </w:p>
    <w:p>
      <w:pPr>
        <w:pStyle w:val="Body A"/>
        <w:rPr>
          <w:sz w:val="20"/>
          <w:szCs w:val="20"/>
        </w:rPr>
      </w:pP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Agenda:</w:t>
      </w:r>
    </w:p>
    <w:p>
      <w:pPr>
        <w:pStyle w:val="Body A"/>
        <w:numPr>
          <w:ilvl w:val="0"/>
          <w:numId w:val="2"/>
        </w:numPr>
        <w:bidi w:val="0"/>
        <w:spacing w:after="240"/>
        <w:ind w:right="0"/>
        <w:jc w:val="left"/>
        <w:rPr>
          <w:rFonts w:ascii="Arial" w:hAnsi="Arial"/>
          <w:sz w:val="26"/>
          <w:szCs w:val="26"/>
          <w:rtl w:val="0"/>
          <w:lang w:val="en-US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Admin Budget 2020 </w:t>
      </w:r>
      <w:r>
        <w:rPr>
          <w:rFonts w:ascii="Arial" w:hAnsi="Arial" w:hint="default"/>
          <w:sz w:val="26"/>
          <w:szCs w:val="26"/>
          <w:rtl w:val="0"/>
          <w:lang w:val="en-US"/>
        </w:rPr>
        <w:t xml:space="preserve">– </w:t>
      </w:r>
      <w:r>
        <w:rPr>
          <w:rFonts w:ascii="Arial" w:hAnsi="Arial"/>
          <w:sz w:val="26"/>
          <w:szCs w:val="26"/>
          <w:rtl w:val="0"/>
          <w:lang w:val="en-US"/>
        </w:rPr>
        <w:t>21</w:t>
      </w:r>
    </w:p>
    <w:p>
      <w:pPr>
        <w:pStyle w:val="Body A"/>
        <w:numPr>
          <w:ilvl w:val="0"/>
          <w:numId w:val="2"/>
        </w:numPr>
        <w:bidi w:val="0"/>
        <w:spacing w:after="240"/>
        <w:ind w:right="0"/>
        <w:jc w:val="left"/>
        <w:rPr>
          <w:rFonts w:ascii="Arial" w:hAnsi="Arial"/>
          <w:sz w:val="26"/>
          <w:szCs w:val="26"/>
          <w:rtl w:val="0"/>
          <w:lang w:val="en-US"/>
        </w:rPr>
      </w:pPr>
      <w:r>
        <w:rPr>
          <w:rFonts w:ascii="Arial" w:hAnsi="Arial"/>
          <w:sz w:val="26"/>
          <w:szCs w:val="26"/>
          <w:rtl w:val="0"/>
          <w:lang w:val="en-US"/>
        </w:rPr>
        <w:t>Infrastructure Budget 2020-21</w:t>
      </w:r>
    </w:p>
    <w:p>
      <w:pPr>
        <w:pStyle w:val="Body A"/>
        <w:numPr>
          <w:ilvl w:val="0"/>
          <w:numId w:val="2"/>
        </w:numPr>
        <w:bidi w:val="0"/>
        <w:spacing w:after="240"/>
        <w:ind w:right="0"/>
        <w:jc w:val="left"/>
        <w:rPr>
          <w:rFonts w:ascii="Arial" w:hAnsi="Arial"/>
          <w:sz w:val="26"/>
          <w:szCs w:val="26"/>
          <w:rtl w:val="0"/>
          <w:lang w:val="en-US"/>
        </w:rPr>
      </w:pPr>
      <w:r>
        <w:rPr>
          <w:rFonts w:ascii="Arial" w:hAnsi="Arial"/>
          <w:sz w:val="26"/>
          <w:szCs w:val="26"/>
          <w:rtl w:val="0"/>
          <w:lang w:val="en-US"/>
        </w:rPr>
        <w:t>NAB Term deposit Account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Items forwarded from directors: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John Tennock provided current </w:t>
      </w:r>
      <w:r>
        <w:rPr>
          <w:rFonts w:ascii="Arial" w:hAnsi="Arial"/>
          <w:sz w:val="26"/>
          <w:szCs w:val="26"/>
          <w:rtl w:val="0"/>
          <w:lang w:val="en-US"/>
        </w:rPr>
        <w:t>b</w:t>
      </w:r>
      <w:r>
        <w:rPr>
          <w:rFonts w:ascii="Arial" w:hAnsi="Arial"/>
          <w:sz w:val="26"/>
          <w:szCs w:val="26"/>
          <w:rtl w:val="0"/>
          <w:lang w:val="en-US"/>
        </w:rPr>
        <w:t>ank account balances, monthly budget report, Income/Expenditure report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Wayne provided draft Admin and Infrastructure Budgets and 10 Year forecast spreadsheet.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  <w:u w:val="single"/>
        </w:rPr>
      </w:pPr>
      <w:r>
        <w:rPr>
          <w:rFonts w:ascii="Arial" w:hAnsi="Arial"/>
          <w:b w:val="1"/>
          <w:bCs w:val="1"/>
          <w:sz w:val="26"/>
          <w:szCs w:val="26"/>
          <w:u w:val="single"/>
          <w:rtl w:val="0"/>
          <w:lang w:val="en-US"/>
        </w:rPr>
        <w:t>Discussion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Administration and Infrastructure Budgets 2020-21: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The committee examined the draft budgets cross-referencing information contained in both.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Action:</w:t>
      </w:r>
      <w:r>
        <w:rPr>
          <w:rFonts w:ascii="Arial" w:hAnsi="Arial"/>
          <w:sz w:val="26"/>
          <w:szCs w:val="26"/>
          <w:rtl w:val="0"/>
          <w:lang w:val="en-US"/>
        </w:rPr>
        <w:t xml:space="preserve"> John will create new Job Id</w:t>
      </w:r>
      <w:r>
        <w:rPr>
          <w:rFonts w:ascii="Arial" w:hAnsi="Arial" w:hint="default"/>
          <w:sz w:val="26"/>
          <w:szCs w:val="26"/>
          <w:rtl w:val="0"/>
          <w:lang w:val="en-US"/>
        </w:rPr>
        <w:t>’</w:t>
      </w:r>
      <w:r>
        <w:rPr>
          <w:rFonts w:ascii="Arial" w:hAnsi="Arial"/>
          <w:sz w:val="26"/>
          <w:szCs w:val="26"/>
          <w:rtl w:val="0"/>
          <w:lang w:val="en-US"/>
        </w:rPr>
        <w:t>s for the new items in both budgets.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It was agreed to alter item</w:t>
      </w:r>
      <w:r>
        <w:rPr>
          <w:rFonts w:ascii="Arial" w:hAnsi="Arial"/>
          <w:sz w:val="26"/>
          <w:szCs w:val="26"/>
          <w:rtl w:val="0"/>
          <w:lang w:val="en-US"/>
        </w:rPr>
        <w:t xml:space="preserve"> amounts</w:t>
      </w:r>
      <w:r>
        <w:rPr>
          <w:rFonts w:ascii="Arial" w:hAnsi="Arial"/>
          <w:sz w:val="26"/>
          <w:szCs w:val="26"/>
          <w:rtl w:val="0"/>
          <w:lang w:val="en-US"/>
        </w:rPr>
        <w:t xml:space="preserve"> in the 2020-21 budget column to reflect more accurate costs. 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Action:</w:t>
      </w:r>
      <w:r>
        <w:rPr>
          <w:rFonts w:ascii="Arial" w:hAnsi="Arial"/>
          <w:sz w:val="26"/>
          <w:szCs w:val="26"/>
          <w:rtl w:val="0"/>
          <w:lang w:val="en-US"/>
        </w:rPr>
        <w:t xml:space="preserve"> Wayne will update the spreadsheet with these amounts and send to those present for review.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Action:</w:t>
      </w:r>
      <w:r>
        <w:rPr>
          <w:rFonts w:ascii="Arial" w:hAnsi="Arial"/>
          <w:sz w:val="26"/>
          <w:szCs w:val="26"/>
          <w:rtl w:val="0"/>
          <w:lang w:val="en-US"/>
        </w:rPr>
        <w:t xml:space="preserve"> John will create a Dummy copy of the budgets and print out reports for review.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NAB Term deposit Account: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 xml:space="preserve">Action:  </w:t>
      </w:r>
      <w:r>
        <w:rPr>
          <w:rFonts w:ascii="Arial" w:hAnsi="Arial"/>
          <w:sz w:val="26"/>
          <w:szCs w:val="26"/>
          <w:rtl w:val="0"/>
          <w:lang w:val="en-US"/>
        </w:rPr>
        <w:t>The committee agreed that the creation of another account and the distribution of funds between the accounts was reasonable to reduce the risk/exposure to a bank collapse and to advise Directors of this.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Work Claims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Denis has volunteered to assist John with processing work claims.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10 year Forecast.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The 10 year forecast spreadsheet was provided to show how the amounts were calculated that are utilized in the Infrastructure Budget.  This Forecasts contains the following columns: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Location and Item, Sub Element, Work Description,Fund (Infrastructure or Admin), Comments, Quantity, Estimated Life remaining, Year Due, Amount per year, Total amount predicted for replacement, upgrade or remediation.</w:t>
      </w:r>
    </w:p>
    <w:p>
      <w:pPr>
        <w:pStyle w:val="Body A"/>
        <w:spacing w:after="240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It was noted that the DA Road component in the forecast will require further funds, as such this will likely increase the Infrastructure levies in the 2021-2020 financial year onwards until the road is completed.</w:t>
      </w: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Next meeting TBA.</w:t>
      </w:r>
    </w:p>
    <w:p>
      <w:pPr>
        <w:pStyle w:val="Body"/>
      </w:pPr>
    </w:p>
    <w:p>
      <w:pPr>
        <w:pStyle w:val="Body A"/>
        <w:spacing w:after="240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Conclusion:</w:t>
      </w:r>
    </w:p>
    <w:p>
      <w:pPr>
        <w:pStyle w:val="Body A"/>
        <w:spacing w:after="240"/>
      </w:pPr>
      <w:r>
        <w:rPr>
          <w:rFonts w:ascii="Arial" w:hAnsi="Arial"/>
          <w:sz w:val="26"/>
          <w:szCs w:val="26"/>
          <w:rtl w:val="0"/>
          <w:lang w:val="en-US"/>
        </w:rPr>
        <w:t>Meeting concluded at 10:30am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